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Информация </w:t>
      </w:r>
    </w:p>
    <w:p>
      <w:pPr>
        <w:pStyle w:val="Normal"/>
        <w:spacing w:before="0" w:after="0"/>
        <w:jc w:val="center"/>
        <w:rPr>
          <w:vanish/>
          <w:lang w:eastAsia="ru-RU"/>
        </w:rPr>
      </w:pPr>
      <w:r>
        <w:rPr>
          <w:rFonts w:cs="Times New Roman" w:ascii="Times New Roman" w:hAnsi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ЗЕМЕЛЬНОМУ налогу (Глава 31 НК РФ)</w:t>
      </w:r>
    </w:p>
    <w:tbl>
      <w:tblPr>
        <w:tblStyle w:val="a7"/>
        <w:tblpPr w:bottomFromText="0" w:horzAnchor="margin" w:leftFromText="180" w:rightFromText="180" w:tblpX="0" w:tblpY="2761" w:topFromText="0" w:vertAnchor="page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8"/>
        <w:gridCol w:w="6819"/>
      </w:tblGrid>
      <w:tr>
        <w:trPr>
          <w:trHeight w:val="3103" w:hRule="atLeast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104390" cy="1475105"/>
                  <wp:effectExtent l="0" t="0" r="0" b="0"/>
                  <wp:docPr id="1" name="Рисунок 4" descr="https://debtsolutions-parrysound.ca/wp-content/uploads/2016/11/GenX_iStock_28344540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https://debtsolutions-parrysound.ca/wp-content/uploads/2016/11/GenX_iStock_28344540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Земельный налог рассчитывается в соответствии с Главой 31 Налогового Кодекса РФ, исходя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из кадастровой стоимости земельных участков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признаваемых объектом налогообложения в соответствии со </w:t>
            </w:r>
            <w:hyperlink w:anchor="sub_389">
              <w:r>
                <w:rPr>
                  <w:rStyle w:val="ListLabel1"/>
                  <w:rFonts w:cs="Times New Roman" w:ascii="Times New Roman" w:hAnsi="Times New Roman"/>
                  <w:sz w:val="28"/>
                  <w:szCs w:val="28"/>
                </w:rPr>
                <w:t>статьей 389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Налогового Кодекса.</w:t>
            </w:r>
          </w:p>
        </w:tc>
      </w:tr>
    </w:tbl>
    <w:p>
      <w:pPr>
        <w:pStyle w:val="Normal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align>right</wp:align>
                </wp:positionH>
                <wp:positionV relativeFrom="paragraph">
                  <wp:posOffset>231140</wp:posOffset>
                </wp:positionV>
                <wp:extent cx="7164070" cy="87693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8769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60"/>
                              <w:jc w:val="center"/>
                              <w:rPr>
                                <w:b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2019 году налог подлежит уплате налогоплательщиками </w:t>
                            </w:r>
                          </w:p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срок не позднее 2 декабря 2019 года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4.1pt;height:69.05pt;mso-wrap-distance-left:5.7pt;mso-wrap-distance-right:5.7pt;mso-wrap-distance-top:5.7pt;mso-wrap-distance-bottom:5.7pt;margin-top:18.2pt;mso-position-vertical-relative:text;margin-left:25.5pt;mso-position-horizontal:right;mso-position-horizontal-relative:page">
                <v:textbox>
                  <w:txbxContent>
                    <w:p>
                      <w:pPr>
                        <w:pStyle w:val="Style24"/>
                        <w:spacing w:before="0" w:after="60"/>
                        <w:jc w:val="center"/>
                        <w:rPr>
                          <w:b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В 2019 году налог подлежит уплате налогоплательщиками </w:t>
                      </w:r>
                    </w:p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в </w:t>
                      </w:r>
                      <w:r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срок не позднее 2 декабря 2019 года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Уплачивают земельный налог собственники и владельцы земельных участков (организации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владения). Объектом налогообложения признаются земельные участки, расположенные в пределах муниципального образования, на территории которого введен налог.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  <w:t>Не признаются объектом налогообложения земельные участки, входящие в состав общего имущества многоквартирного дома.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Налоговые ставки и дополнительные льготы по земельному налогу устанавливаются нормативными правовыми актами представительных органов муниципальных образований (решение Переславль-Залесской городской Думы «Об утверждении Положения о земельном налоге на территории г. Переславля-Залесского» от 31.07.2014 № 83 (с изменениями от 27 ноября 2014 года № 139, от 29 октября 2015 года № 103, от 23 ноября 2017 года № 102)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,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ешение муниципального Совета Нагорьевского сельского поселения "Об установлении земельного налога на территории Нагорьевского сельского поселения Переславского муниципального района" от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27.11.2017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 144, р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ешение муниципального Совета Пригородного сельского поселения "Об установлении земельного налога" (в ред. от 24.11.2017 № 111) от 25.10.2012 № 105, решение муниципального Совета Рязанцевского сельского поселения "Об установлении земельного налога на территории Рязанцевского сельского поселения Переславского муниципального района" от 14.11.2017 № 18)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7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0"/>
        <w:gridCol w:w="7057"/>
      </w:tblGrid>
      <w:tr>
        <w:trPr/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Web"/>
              <w:spacing w:lineRule="atLeast" w:line="330" w:beforeAutospacing="0" w:before="0" w:afterAutospacing="0" w:after="0"/>
              <w:jc w:val="both"/>
              <w:rPr>
                <w:rFonts w:eastAsia="Calibri" w:eastAsiaTheme="minorHAnsi"/>
                <w:b/>
                <w:b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1952625" cy="1464310"/>
                  <wp:effectExtent l="0" t="0" r="0" b="0"/>
                  <wp:docPr id="3" name="Рисунок 16" descr="https://www.nalog.ru/cdn/image/172763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 descr="https://www.nalog.ru/cdn/image/172763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Web"/>
              <w:spacing w:lineRule="atLeast" w:line="330" w:beforeAutospacing="0" w:before="0" w:afterAutospacing="0" w:after="0"/>
              <w:jc w:val="center"/>
              <w:rPr/>
            </w:pPr>
            <w:r>
              <w:rPr>
                <w:sz w:val="28"/>
                <w:szCs w:val="28"/>
              </w:rPr>
              <w:t xml:space="preserve">На официальном </w:t>
            </w:r>
            <w:r>
              <w:rPr>
                <w:sz w:val="28"/>
                <w:szCs w:val="28"/>
                <w:shd w:fill="FFFFFF" w:val="clear"/>
              </w:rPr>
              <w:t xml:space="preserve">Интернет-сайте Федеральной Налоговой Службы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NALOG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shd w:fill="FFFFFF" w:val="clear"/>
              </w:rPr>
              <w:t xml:space="preserve"> в разделе </w:t>
            </w:r>
            <w:hyperlink r:id="rId4">
              <w:r>
                <w:rPr>
                  <w:rStyle w:val="Style15"/>
                  <w:sz w:val="28"/>
                  <w:szCs w:val="28"/>
                  <w:highlight w:val="white"/>
                </w:rPr>
                <w:t>электронные услуги</w:t>
              </w:r>
            </w:hyperlink>
            <w:r>
              <w:rPr>
                <w:sz w:val="28"/>
                <w:szCs w:val="28"/>
                <w:shd w:fill="FFFFFF" w:val="clear"/>
              </w:rPr>
              <w:t xml:space="preserve"> запущен новый</w:t>
            </w:r>
            <w:r>
              <w:rPr>
                <w:color w:val="405965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интерактивный сервис</w:t>
            </w:r>
          </w:p>
          <w:p>
            <w:pPr>
              <w:pStyle w:val="NormalWeb"/>
              <w:spacing w:lineRule="atLeast" w:line="330" w:beforeAutospacing="0" w:before="0" w:afterAutospacing="0" w:after="0"/>
              <w:jc w:val="center"/>
              <w:rPr/>
            </w:pPr>
            <w:r>
              <w:rPr>
                <w:b/>
                <w:sz w:val="28"/>
                <w:szCs w:val="28"/>
                <w:u w:val="single"/>
              </w:rPr>
              <w:t>СПРАВОЧНАЯ ИНФОРМАЦИЯ О СТАВКАХ И ЛЬГОТАХ ПО ИМУЩЕСТВЕННЫМНАЛОГАМ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</w:t>
            </w:r>
            <w:hyperlink r:id="rId5">
              <w:r>
                <w:rPr>
                  <w:rStyle w:val="Style15"/>
                  <w:b/>
                  <w:sz w:val="28"/>
                  <w:szCs w:val="28"/>
                  <w:u w:val="single"/>
                </w:rPr>
                <w:t>https://www.nalog.ru/rn76/service/tax/</w:t>
              </w:r>
            </w:hyperlink>
            <w:r>
              <w:rPr>
                <w:b/>
                <w:sz w:val="28"/>
                <w:szCs w:val="28"/>
                <w:u w:val="single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NormalWeb"/>
              <w:spacing w:lineRule="atLeast" w:line="330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где можно </w:t>
            </w:r>
            <w:r>
              <w:rPr>
                <w:b/>
                <w:sz w:val="28"/>
                <w:szCs w:val="28"/>
              </w:rPr>
              <w:t>ознакомиться с информацией</w:t>
            </w:r>
            <w:r>
              <w:rPr>
                <w:sz w:val="28"/>
                <w:szCs w:val="28"/>
              </w:rPr>
              <w:t xml:space="preserve"> об особенностях порядка налогообложения имущества физических лиц (налоговые ставки, льготы, вычеты).</w:t>
            </w:r>
          </w:p>
          <w:p>
            <w:pPr>
              <w:pStyle w:val="NormalWeb"/>
              <w:spacing w:lineRule="atLeast" w:line="330" w:beforeAutospacing="0" w:before="0" w:afterAutospacing="0" w:after="0"/>
              <w:jc w:val="both"/>
              <w:rPr>
                <w:rFonts w:eastAsia="Calibri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помощью данного сервиса, а также на сайте Администрации города Переславля-Залесского в разделе Финансы/Местные налоги можно узнать </w:t>
      </w:r>
      <w:r>
        <w:rPr>
          <w:rFonts w:cs="Times New Roman" w:ascii="Times New Roman" w:hAnsi="Times New Roman"/>
          <w:b/>
          <w:sz w:val="28"/>
          <w:szCs w:val="28"/>
        </w:rPr>
        <w:t>размер налоговых ставок</w:t>
      </w:r>
      <w:r>
        <w:rPr>
          <w:rFonts w:cs="Times New Roman" w:ascii="Times New Roman" w:hAnsi="Times New Roman"/>
          <w:sz w:val="28"/>
          <w:szCs w:val="28"/>
        </w:rPr>
        <w:t xml:space="preserve">, установленных муниципальным правовым актом органов местного самоуправления, перечень </w:t>
      </w:r>
      <w:r>
        <w:rPr>
          <w:rFonts w:cs="Times New Roman" w:ascii="Times New Roman" w:hAnsi="Times New Roman"/>
          <w:b/>
          <w:sz w:val="28"/>
          <w:szCs w:val="28"/>
        </w:rPr>
        <w:t>действующих налоговых льгот</w:t>
      </w:r>
      <w:r>
        <w:rPr>
          <w:rFonts w:cs="Times New Roman" w:ascii="Times New Roman" w:hAnsi="Times New Roman"/>
          <w:sz w:val="28"/>
          <w:szCs w:val="28"/>
        </w:rPr>
        <w:t>, установленных федеральным и местным законодательством.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Физические лица, имеющие право на налоговые льготы, установленные решением Переславль-Залесской городской Думы, представляют в налоговый орган по своему выбору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  <w:lang w:eastAsia="ru-RU"/>
        </w:rPr>
        <w:t>заявление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88265</wp:posOffset>
            </wp:positionH>
            <wp:positionV relativeFrom="margin">
              <wp:posOffset>4648200</wp:posOffset>
            </wp:positionV>
            <wp:extent cx="1238250" cy="885825"/>
            <wp:effectExtent l="0" t="0" r="0" b="0"/>
            <wp:wrapSquare wrapText="bothSides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tLeast" w:line="330" w:beforeAutospacing="0" w:before="0" w:afterAutospacing="0" w:after="0"/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случае, если раннее налогоплательщиком    </w:t>
        <w:tab/>
        <w:t xml:space="preserve">представлялось в налоговый орган заявление о </w:t>
        <w:tab/>
        <w:t xml:space="preserve">предоставлении льготы, повторного предоставления </w:t>
        <w:tab/>
        <w:t>заявления не требуется.</w:t>
      </w:r>
    </w:p>
    <w:p>
      <w:pPr>
        <w:pStyle w:val="NormalWeb"/>
        <w:spacing w:lineRule="atLeast" w:line="330" w:beforeAutospacing="0" w:before="0" w:afterAutospacing="0" w:after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107315</wp:posOffset>
                </wp:positionH>
                <wp:positionV relativeFrom="paragraph">
                  <wp:posOffset>12065</wp:posOffset>
                </wp:positionV>
                <wp:extent cx="6496685" cy="10160"/>
                <wp:effectExtent l="0" t="0" r="19050" b="28575"/>
                <wp:wrapNone/>
                <wp:docPr id="5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936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45pt,0.6pt" to="519.9pt,1.3pt" ID="Прямая соединительная линия 12" stroked="t" style="position:absolute">
                <v:stroke color="#1f497d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60"/>
        <w:ind w:right="60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Налоговым законодательством предусмотрено уменьшение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налоговой базы</w:t>
      </w:r>
      <w:r>
        <w:rPr>
          <w:rFonts w:cs="Times New Roman" w:ascii="Times New Roman" w:hAnsi="Times New Roman"/>
          <w:sz w:val="28"/>
          <w:szCs w:val="28"/>
        </w:rPr>
        <w:t xml:space="preserve">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1) Героев Советского Союза, Героев Российской Федерации, полных кавалеров ордена Славы;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2) инвалидов I и II групп инвалидности;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3) инвалидов с детства, детей-инвалидов;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4) ветеранов и инвалидов Великой Отечественной войны, а также ветеранов и инвалидов боевых действий;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18"/>
          <w:szCs w:val="18"/>
        </w:rPr>
        <w:t xml:space="preserve">5) физических лиц, имеющих право на получение социальной поддержки в соответствии с </w:t>
      </w:r>
      <w:hyperlink r:id="rId7">
        <w:r>
          <w:rPr>
            <w:rStyle w:val="ListLabel4"/>
            <w:rFonts w:cs="Arial" w:ascii="Arial" w:hAnsi="Arial"/>
            <w:sz w:val="18"/>
            <w:szCs w:val="18"/>
          </w:rPr>
          <w:t>Законом</w:t>
        </w:r>
      </w:hyperlink>
      <w:r>
        <w:rPr>
          <w:rFonts w:cs="Arial" w:ascii="Arial" w:hAnsi="Arial"/>
          <w:sz w:val="18"/>
          <w:szCs w:val="1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8">
        <w:r>
          <w:rPr>
            <w:rStyle w:val="ListLabel4"/>
            <w:rFonts w:cs="Arial" w:ascii="Arial" w:hAnsi="Arial"/>
            <w:sz w:val="18"/>
            <w:szCs w:val="18"/>
          </w:rPr>
          <w:t>Закона</w:t>
        </w:r>
      </w:hyperlink>
      <w:r>
        <w:rPr>
          <w:rFonts w:cs="Arial" w:ascii="Arial" w:hAnsi="Arial"/>
          <w:sz w:val="18"/>
          <w:szCs w:val="18"/>
        </w:rPr>
        <w:t xml:space="preserve"> Российской Федерации от 18 июня 1992 года N 3061-I), в соответствии с </w:t>
      </w:r>
      <w:hyperlink r:id="rId9">
        <w:r>
          <w:rPr>
            <w:rStyle w:val="ListLabel4"/>
            <w:rFonts w:cs="Arial" w:ascii="Arial" w:hAnsi="Arial"/>
            <w:sz w:val="18"/>
            <w:szCs w:val="18"/>
          </w:rPr>
          <w:t>Федеральным законом</w:t>
        </w:r>
      </w:hyperlink>
      <w:r>
        <w:rPr>
          <w:rFonts w:cs="Arial" w:ascii="Arial" w:hAnsi="Arial"/>
          <w:sz w:val="18"/>
          <w:szCs w:val="18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</w:t>
      </w:r>
      <w:hyperlink r:id="rId10">
        <w:r>
          <w:rPr>
            <w:rStyle w:val="ListLabel4"/>
            <w:rFonts w:cs="Arial" w:ascii="Arial" w:hAnsi="Arial"/>
            <w:sz w:val="18"/>
            <w:szCs w:val="18"/>
          </w:rPr>
          <w:t>Федеральным законом</w:t>
        </w:r>
      </w:hyperlink>
      <w:r>
        <w:rPr>
          <w:rFonts w:cs="Arial" w:ascii="Arial" w:hAnsi="Arial"/>
          <w:sz w:val="18"/>
          <w:szCs w:val="1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9) физических лиц, имеющих трех и более несовершеннолетних детей.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lineRule="atLeast" w:line="330" w:beforeAutospacing="0" w:before="0" w:afterAutospacing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525260" cy="19685"/>
                <wp:effectExtent l="0" t="0" r="28575" b="19050"/>
                <wp:wrapNone/>
                <wp:docPr id="6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24640" cy="1908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9.35pt" to="517.3pt,10.8pt" ID="Прямая соединительная линия 17" stroked="t" style="position:absolute;flip:y;mso-position-horizontal:right;mso-position-horizontal-relative:margin">
                <v:stroke color="#1f497d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 кадастровой стоимости земельного налога можно получить бесплатно: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rFonts w:ascii="Arial" w:hAnsi="Arial" w:cs="Arial"/>
          <w:b/>
          <w:b/>
          <w:bCs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  <w:t> </w:t>
      </w:r>
      <w:r>
        <w:rPr>
          <w:rFonts w:cs="Arial" w:ascii="Arial" w:hAnsi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5103"/>
      </w:tblGrid>
      <w:tr>
        <w:trPr/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Web"/>
              <w:spacing w:lineRule="auto" w:beforeAutospacing="0" w:before="0" w:afterAutospacing="0" w:after="0"/>
              <w:jc w:val="both"/>
              <w:rPr>
                <w:rFonts w:eastAsia="Calibri" w:eastAsiaTheme="minorHAnsi"/>
                <w:b/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>
            <w:pPr>
              <w:pStyle w:val="NormalWeb"/>
              <w:spacing w:lineRule="auto" w:beforeAutospacing="0" w:before="0" w:afterAutospacing="0" w:after="0"/>
              <w:ind w:left="142" w:hanging="142"/>
              <w:rPr>
                <w:rFonts w:eastAsia="Calibri" w:eastAsiaTheme="minorHAnsi"/>
                <w:i/>
                <w:i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Росреестра» по Ярославской области Территориальный отдел № 3</w:t>
            </w:r>
            <w:r>
              <w:rPr>
                <w:rFonts w:eastAsia="Calibri" w:eastAsiaTheme="minorHAnsi"/>
                <w:i/>
                <w:lang w:eastAsia="en-US"/>
              </w:rPr>
              <w:t xml:space="preserve"> (адрес: 152020, г. Переславль, ул Советская, д. 23А);</w:t>
            </w:r>
          </w:p>
          <w:p>
            <w:pPr>
              <w:pStyle w:val="NormalWeb"/>
              <w:spacing w:lineRule="auto" w:beforeAutospacing="0" w:before="0" w:afterAutospacing="0" w:after="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 xml:space="preserve">- в филиал </w:t>
            </w:r>
            <w:r>
              <w:rPr>
                <w:color w:val="222222"/>
                <w:sz w:val="23"/>
                <w:szCs w:val="23"/>
                <w:shd w:fill="FFFFFF" w:val="clear"/>
              </w:rPr>
              <w:t>ГАУ «МФЦ ГО Переславль-Залесский ЯО</w:t>
            </w:r>
            <w:r>
              <w:rPr>
                <w:rStyle w:val="Strong"/>
                <w:sz w:val="26"/>
                <w:szCs w:val="26"/>
                <w:shd w:fill="FEFEFE" w:val="clear"/>
              </w:rPr>
              <w:t xml:space="preserve">» </w:t>
            </w:r>
            <w:r>
              <w:rPr>
                <w:rFonts w:eastAsia="Calibri" w:eastAsiaTheme="minorHAnsi"/>
                <w:i/>
                <w:lang w:eastAsia="en-US"/>
              </w:rPr>
              <w:t>(адрес: г. Переславль, ул. Проездная, д. 2Б);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Web"/>
              <w:spacing w:lineRule="auto" w:beforeAutospacing="0" w:before="0" w:afterAutospacing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6"/>
                <w:szCs w:val="26"/>
                <w:u w:val="single"/>
              </w:rPr>
              <w:t>на сайте Росреестра</w:t>
            </w:r>
            <w:r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 он-лайн», указав адрес объекта.</w:t>
            </w:r>
            <w:r>
              <w:rPr>
                <w:rFonts w:cs="Arial" w:ascii="Arial" w:hAnsi="Arial"/>
                <w:sz w:val="18"/>
                <w:szCs w:val="18"/>
              </w:rPr>
              <w:t xml:space="preserve"> (</w:t>
            </w:r>
            <w:r>
              <w:rPr>
                <w:b/>
                <w:color w:val="17365D" w:themeColor="text2" w:themeShade="bf"/>
                <w:u w:val="single"/>
              </w:rPr>
              <w:t>https://rosreestr.ru/wps/portal/online_request</w:t>
            </w:r>
            <w:r>
              <w:rPr>
                <w:rFonts w:cs="Arial" w:ascii="Arial" w:hAnsi="Arial"/>
                <w:b/>
                <w:color w:val="17365D" w:themeColor="text2" w:themeShade="bf"/>
                <w:sz w:val="18"/>
                <w:szCs w:val="18"/>
                <w:u w:val="single"/>
              </w:rPr>
              <w:t>).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1"/>
        <w:gridCol w:w="7511"/>
      </w:tblGrid>
      <w:tr>
        <w:trPr>
          <w:trHeight w:val="2004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Fonts w:eastAsia="Calibri" w:eastAsiaTheme="minorHAnsi"/>
                <w:b/>
                <w:b/>
                <w:sz w:val="28"/>
                <w:szCs w:val="28"/>
                <w:u w:val="single"/>
                <w:lang w:eastAsia="en-US"/>
              </w:rPr>
            </w:pPr>
            <w:r>
              <w:rPr/>
              <w:drawing>
                <wp:inline distT="0" distB="0" distL="0" distR="0">
                  <wp:extent cx="1661795" cy="1089025"/>
                  <wp:effectExtent l="0" t="0" r="0" b="0"/>
                  <wp:docPr id="7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tcBorders>
              <w:top w:val="nil"/>
              <w:bottom w:val="nil"/>
              <w:right w:val="nil"/>
            </w:tcBorders>
            <w:shd w:fill="auto" w:val="clear"/>
          </w:tcPr>
          <w:p>
            <w:pPr>
              <w:pStyle w:val="NormalWeb"/>
              <w:spacing w:lineRule="atLeast" w:line="330" w:beforeAutospacing="0" w:before="0" w:afterAutospacing="0" w:after="0"/>
              <w:ind w:left="26" w:hanging="0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  <w:p>
            <w:pPr>
              <w:pStyle w:val="NormalWeb"/>
              <w:spacing w:lineRule="atLeast" w:line="330" w:beforeAutospacing="0" w:before="0" w:afterAutospacing="0" w:after="0"/>
              <w:ind w:left="26" w:hanging="0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Физическим лицам земельный налог рассчитывает налоговая служба, после чего направляет </w:t>
            </w:r>
            <w:r>
              <w:rPr>
                <w:rFonts w:eastAsia="Calibri" w:eastAsiaTheme="minorHAnsi"/>
                <w:b/>
                <w:sz w:val="28"/>
                <w:szCs w:val="28"/>
                <w:u w:val="single"/>
                <w:lang w:eastAsia="en-US"/>
              </w:rPr>
              <w:t>налоговое уведомление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, в котором содержится информация о размере налога и сроке его оплаты. </w:t>
            </w:r>
          </w:p>
          <w:p>
            <w:pPr>
              <w:pStyle w:val="NormalWeb"/>
              <w:spacing w:lineRule="atLeast" w:line="330" w:beforeAutospacing="0" w:before="0" w:afterAutospacing="0" w:after="0"/>
              <w:ind w:left="26" w:hanging="0"/>
              <w:jc w:val="both"/>
              <w:rPr>
                <w:rFonts w:eastAsia="Calibri" w:eastAsiaTheme="minorHAnsi"/>
                <w:u w:val="single"/>
                <w:lang w:eastAsia="en-US"/>
              </w:rPr>
            </w:pPr>
            <w:r>
              <w:rPr>
                <w:rFonts w:eastAsia="Calibri" w:eastAsiaTheme="minorHAnsi"/>
                <w:u w:val="single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2">
        <w:r>
          <w:rPr>
            <w:rStyle w:val="ListLabel5"/>
            <w:rFonts w:eastAsia="Calibri"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>
        <w:rPr>
          <w:rFonts w:eastAsia="Calibri" w:eastAsiaTheme="minorHAnsi"/>
          <w:b/>
          <w:sz w:val="28"/>
          <w:szCs w:val="28"/>
          <w:lang w:eastAsia="en-US"/>
        </w:rPr>
        <w:t>На бумаге</w:t>
      </w:r>
      <w:r>
        <w:rPr>
          <w:rFonts w:eastAsia="Calibri"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>
        <w:rPr>
          <w:rFonts w:eastAsia="Calibri" w:eastAsiaTheme="minorHAnsi"/>
          <w:b/>
          <w:sz w:val="28"/>
          <w:szCs w:val="28"/>
          <w:lang w:eastAsia="en-US"/>
        </w:rPr>
        <w:t>дублироваться не будут.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Граждане, которые являются собственниками объектов недвижимого имущества, но </w:t>
      </w:r>
      <w:r>
        <w:rPr>
          <w:rFonts w:cs="Times New Roman" w:ascii="Times New Roman" w:hAnsi="Times New Roman"/>
          <w:b/>
          <w:sz w:val="28"/>
          <w:szCs w:val="28"/>
        </w:rPr>
        <w:t>не получившие налоговые уведомления до 1 ноября 2018 года,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пунктом 2.1 статьи 23 Налогового кодекса РФ </w:t>
      </w:r>
      <w:r>
        <w:rPr>
          <w:rFonts w:cs="Times New Roman" w:ascii="Times New Roman" w:hAnsi="Times New Roman"/>
          <w:b/>
          <w:sz w:val="28"/>
          <w:szCs w:val="28"/>
        </w:rPr>
        <w:t>обязаны сообщить в налоговые органы сведения о таком имуществе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62A05032">
                <wp:simplePos x="0" y="0"/>
                <wp:positionH relativeFrom="margin">
                  <wp:posOffset>542925</wp:posOffset>
                </wp:positionH>
                <wp:positionV relativeFrom="paragraph">
                  <wp:posOffset>3810</wp:posOffset>
                </wp:positionV>
                <wp:extent cx="5525135" cy="1543685"/>
                <wp:effectExtent l="0" t="0" r="19050" b="19050"/>
                <wp:wrapNone/>
                <wp:docPr id="8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154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560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12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</w:rPr>
                              <w:t xml:space="preserve">Доводим до Вашего сведения, что на официальном Интернет-сайте Федеральной Налоговой Службы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NALOG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</w:rPr>
                              <w:t xml:space="preserve"> в разделе </w:t>
                            </w:r>
                            <w:hyperlink r:id="rId13">
                              <w:r>
                                <w:rPr>
                                  <w:rStyle w:val="Style15"/>
                                  <w:sz w:val="28"/>
                                  <w:szCs w:val="28"/>
                                  <w:highlight w:val="white"/>
                                </w:rPr>
                                <w:t>электронные услуги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  <w:shd w:fill="FFFFFF" w:val="clear"/>
                              </w:rPr>
                              <w:t xml:space="preserve"> запущен новый</w:t>
                            </w:r>
                            <w:r>
                              <w:rPr>
                                <w:color w:val="405965"/>
                                <w:sz w:val="28"/>
                                <w:szCs w:val="28"/>
                                <w:shd w:fill="FFFFFF" w:val="clear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</w:rPr>
                              <w:t xml:space="preserve">интерактивный сервис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shd w:fill="FFFFFF" w:val="clear"/>
                              </w:rPr>
                              <w:t>НАЛОГОВОЕ УВЕДОМЛЕНИЕ</w:t>
                            </w: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</w:rPr>
                              <w:t xml:space="preserve"> (</w:t>
                            </w:r>
                            <w:hyperlink r:id="rId14">
                              <w:r>
                                <w:rPr>
                                  <w:rStyle w:val="Style15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https://www.nalog.ru/rn76/snu-2019/</w:t>
                              </w:r>
                            </w:hyperlink>
                            <w:r>
                              <w:rPr>
                                <w:rFonts w:cs="Arial" w:ascii="Arial" w:hAnsi="Arial"/>
                                <w:sz w:val="21"/>
                                <w:szCs w:val="21"/>
                              </w:rPr>
                              <w:t xml:space="preserve">),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котором собраны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      </w:r>
                          </w:p>
                        </w:txbxContent>
                      </wps:txbx>
                      <wps:bodyPr tIns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42.75pt;margin-top:0.3pt;width:434.95pt;height:121.45pt;mso-position-horizontal-relative:margin" wp14:anchorId="62A05032">
                <w10:wrap type="square"/>
                <v:fill o:detectmouseclick="t" type="solid" color2="black"/>
                <v:stroke color="#1f497d" weight="25560" joinstyle="round" endcap="flat"/>
                <v:textbox>
                  <w:txbxContent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12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shd w:fill="FFFFFF" w:val="clear"/>
                        </w:rPr>
                        <w:t xml:space="preserve">Доводим до Вашего сведения, что на официальном Интернет-сайте Федеральной Налоговой Службы </w:t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WWW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NALOG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  <w:shd w:fill="FFFFFF" w:val="clear"/>
                        </w:rPr>
                        <w:t xml:space="preserve"> в разделе </w:t>
                      </w:r>
                      <w:hyperlink r:id="rId15">
                        <w:r>
                          <w:rPr>
                            <w:rStyle w:val="Style15"/>
                            <w:sz w:val="28"/>
                            <w:szCs w:val="28"/>
                            <w:highlight w:val="white"/>
                          </w:rPr>
                          <w:t>электронные услуги</w:t>
                        </w:r>
                      </w:hyperlink>
                      <w:r>
                        <w:rPr>
                          <w:sz w:val="28"/>
                          <w:szCs w:val="28"/>
                          <w:shd w:fill="FFFFFF" w:val="clear"/>
                        </w:rPr>
                        <w:t xml:space="preserve"> запущен новый</w:t>
                      </w:r>
                      <w:r>
                        <w:rPr>
                          <w:color w:val="405965"/>
                          <w:sz w:val="28"/>
                          <w:szCs w:val="28"/>
                          <w:shd w:fill="FFFFFF" w:val="clear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shd w:fill="FFFFFF" w:val="clear"/>
                        </w:rPr>
                        <w:t xml:space="preserve">интерактивный сервис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shd w:fill="FFFFFF" w:val="clear"/>
                        </w:rPr>
                        <w:t>НАЛОГОВОЕ УВЕДОМЛЕНИЕ</w:t>
                      </w:r>
                      <w:r>
                        <w:rPr>
                          <w:sz w:val="28"/>
                          <w:szCs w:val="28"/>
                          <w:shd w:fill="FFFFFF" w:val="clear"/>
                        </w:rPr>
                        <w:t xml:space="preserve"> (</w:t>
                      </w:r>
                      <w:hyperlink r:id="rId16">
                        <w:r>
                          <w:rPr>
                            <w:rStyle w:val="Style15"/>
                            <w:b/>
                            <w:sz w:val="28"/>
                            <w:szCs w:val="28"/>
                            <w:u w:val="single"/>
                          </w:rPr>
                          <w:t>https://www.nalog.ru/rn76/snu-2019/</w:t>
                        </w:r>
                      </w:hyperlink>
                      <w:r>
                        <w:rPr>
                          <w:rFonts w:cs="Arial" w:ascii="Arial" w:hAnsi="Arial"/>
                          <w:sz w:val="21"/>
                          <w:szCs w:val="21"/>
                        </w:rPr>
                        <w:t xml:space="preserve">), </w:t>
                      </w:r>
                      <w:r>
                        <w:rPr>
                          <w:sz w:val="28"/>
                          <w:szCs w:val="28"/>
                        </w:rPr>
                        <w:t>в котором собраны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154940</wp:posOffset>
                </wp:positionH>
                <wp:positionV relativeFrom="paragraph">
                  <wp:posOffset>185420</wp:posOffset>
                </wp:positionV>
                <wp:extent cx="6315710" cy="1270"/>
                <wp:effectExtent l="0" t="0" r="28575" b="19050"/>
                <wp:wrapNone/>
                <wp:docPr id="10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2pt,14.6pt" to="509.4pt,14.6pt" ID="Прямая соединительная линия 2" stroked="t" style="position:absolute">
                <v:stroke color="#1f497d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2694" w:hanging="2552"/>
        <w:jc w:val="center"/>
        <w:rPr/>
      </w:pPr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1224280" cy="860425"/>
            <wp:effectExtent l="0" t="0" r="0" b="0"/>
            <wp:wrapSquare wrapText="bothSides"/>
            <wp:docPr id="1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ассчитать самостоятельно</w:t>
      </w:r>
      <w:r>
        <w:rPr>
          <w:rFonts w:cs="Times New Roman" w:ascii="Times New Roman" w:hAnsi="Times New Roman"/>
          <w:sz w:val="28"/>
          <w:szCs w:val="28"/>
        </w:rPr>
        <w:t xml:space="preserve"> предполагаемую к уплате в 2018 году </w:t>
      </w:r>
      <w:r>
        <w:rPr>
          <w:rFonts w:cs="Times New Roman" w:ascii="Times New Roman" w:hAnsi="Times New Roman"/>
          <w:b/>
          <w:sz w:val="28"/>
          <w:szCs w:val="28"/>
        </w:rPr>
        <w:t>сумму налога</w:t>
      </w:r>
      <w:r>
        <w:rPr>
          <w:rFonts w:cs="Times New Roman" w:ascii="Times New Roman" w:hAnsi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>
        <w:rPr>
          <w:rFonts w:cs="Times New Roman" w:ascii="Times New Roman" w:hAnsi="Times New Roman"/>
          <w:b/>
          <w:sz w:val="28"/>
          <w:szCs w:val="28"/>
          <w:u w:val="single"/>
          <w:shd w:fill="FFFFFF" w:val="clear"/>
        </w:rPr>
        <w:t>НАЛОГОВЫЕ КАЛЬКУЛЯТОРЫ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</w:t>
      </w:r>
      <w:hyperlink r:id="rId18">
        <w:r>
          <w:rPr>
            <w:rStyle w:val="Style15"/>
            <w:rFonts w:cs="Arial" w:ascii="Arial" w:hAnsi="Arial"/>
            <w:color w:val="F15A22"/>
            <w:highlight w:val="white"/>
          </w:rPr>
          <w:t>Калькулятор земельного налога и налога на имущество физических лиц, исчисляемых исходя из кадастровой стоимости</w:t>
        </w:r>
      </w:hyperlink>
      <w:r>
        <w:rPr>
          <w:rFonts w:cs="Times New Roman" w:ascii="Times New Roman" w:hAnsi="Times New Roman"/>
          <w:sz w:val="28"/>
          <w:szCs w:val="28"/>
        </w:rPr>
        <w:t>, (</w:t>
      </w:r>
      <w:hyperlink r:id="rId19">
        <w:r>
          <w:rPr>
            <w:rStyle w:val="Style15"/>
            <w:rFonts w:cs="Times New Roman" w:ascii="Times New Roman" w:hAnsi="Times New Roman"/>
            <w:sz w:val="28"/>
            <w:szCs w:val="28"/>
          </w:rPr>
          <w:t>https://www.nalog.ru/rn76/service/nalog_calc/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212090</wp:posOffset>
                </wp:positionH>
                <wp:positionV relativeFrom="paragraph">
                  <wp:posOffset>182880</wp:posOffset>
                </wp:positionV>
                <wp:extent cx="6277610" cy="29210"/>
                <wp:effectExtent l="0" t="0" r="28575" b="28575"/>
                <wp:wrapNone/>
                <wp:docPr id="1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6960" cy="2844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7pt,13.3pt" to="510.9pt,15.5pt" ID="Прямая соединительная линия 3" stroked="t" style="position:absolute;flip:y">
                <v:stroke color="#1f497d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Произвести оплату имущественных налогов возможно, как в отделениях банков, так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Для онлайн-оплаты по налоговым платежам можно воспользоваться интернет-сервисами сайта ФНС России (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NALOG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 «Личный кабинет налогоплательщика для физических лиц»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 либо «Заплати налоги», а также сайта </w:t>
      </w:r>
      <w:r>
        <w:rPr>
          <w:rStyle w:val="Style15"/>
          <w:rFonts w:cs="Times New Roman" w:ascii="Times New Roman" w:hAnsi="Times New Roman"/>
          <w:sz w:val="28"/>
          <w:szCs w:val="28"/>
        </w:rPr>
        <w:t>Единый портал государственных и муниципальных услуг</w:t>
      </w:r>
      <w:r>
        <w:rPr>
          <w:rFonts w:cs="Times New Roman" w:ascii="Times New Roman" w:hAnsi="Times New Roman"/>
          <w:sz w:val="36"/>
          <w:szCs w:val="36"/>
        </w:rPr>
        <w:t xml:space="preserve"> (</w:t>
      </w:r>
      <w:hyperlink r:id="rId20">
        <w:r>
          <w:rPr>
            <w:rStyle w:val="Style15"/>
            <w:rFonts w:cs="Times New Roman" w:ascii="Times New Roman" w:hAnsi="Times New Roman"/>
            <w:sz w:val="28"/>
            <w:szCs w:val="28"/>
          </w:rPr>
          <w:t>www.gosuslugi.ru</w:t>
        </w:r>
      </w:hyperlink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«Личный кабинет»</w:t>
      </w:r>
      <w:r>
        <w:rPr>
          <w:rFonts w:cs="Times New Roman" w:ascii="Times New Roman" w:hAnsi="Times New Roman"/>
          <w:sz w:val="36"/>
          <w:szCs w:val="36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851" w:right="707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31c54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6559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7f0b39"/>
    <w:rPr>
      <w:strike w:val="false"/>
      <w:dstrike w:val="false"/>
      <w:color w:val="0066B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7f9a"/>
    <w:rPr>
      <w:color w:val="800080" w:themeColor="followedHyperlink"/>
      <w:u w:val="single"/>
    </w:rPr>
  </w:style>
  <w:style w:type="character" w:styleId="Style16" w:customStyle="1">
    <w:name w:val="Гипертекстовая ссылка"/>
    <w:basedOn w:val="DefaultParagraphFont"/>
    <w:uiPriority w:val="99"/>
    <w:qFormat/>
    <w:rsid w:val="007148a3"/>
    <w:rPr>
      <w:color w:val="106BB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sz w:val="28"/>
      <w:szCs w:val="28"/>
      <w:shd w:fill="FFFFFF" w:val="clear"/>
    </w:rPr>
  </w:style>
  <w:style w:type="character" w:styleId="ListLabel3">
    <w:name w:val="ListLabel 3"/>
    <w:qFormat/>
    <w:rPr>
      <w:b/>
      <w:sz w:val="28"/>
      <w:szCs w:val="28"/>
      <w:u w:val="single"/>
    </w:rPr>
  </w:style>
  <w:style w:type="character" w:styleId="ListLabel4">
    <w:name w:val="ListLabel 4"/>
    <w:qFormat/>
    <w:rPr>
      <w:rFonts w:ascii="Arial" w:hAnsi="Arial" w:cs="Arial"/>
      <w:sz w:val="20"/>
      <w:szCs w:val="20"/>
    </w:rPr>
  </w:style>
  <w:style w:type="character" w:styleId="ListLabel5">
    <w:name w:val="ListLabel 5"/>
    <w:qFormat/>
    <w:rPr>
      <w:rFonts w:eastAsia="Calibri" w:eastAsiaTheme="minorHAnsi"/>
      <w:sz w:val="28"/>
      <w:szCs w:val="28"/>
      <w:lang w:eastAsia="en-US"/>
    </w:rPr>
  </w:style>
  <w:style w:type="character" w:styleId="ListLabel6">
    <w:name w:val="ListLabel 6"/>
    <w:qFormat/>
    <w:rPr>
      <w:rFonts w:ascii="Arial" w:hAnsi="Arial" w:cs="Arial"/>
      <w:color w:val="F15A22"/>
      <w:shd w:fill="FFFFFF" w:val="clear"/>
    </w:rPr>
  </w:style>
  <w:style w:type="character" w:styleId="ListLabel7">
    <w:name w:val="ListLabel 7"/>
    <w:qFormat/>
    <w:rPr>
      <w:rFonts w:ascii="Times New Roman" w:hAnsi="Times New Roman" w:cs="Times New Roman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31c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655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Комментарий"/>
    <w:basedOn w:val="Normal"/>
    <w:next w:val="Normal"/>
    <w:uiPriority w:val="99"/>
    <w:qFormat/>
    <w:rsid w:val="007148a3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3" w:customStyle="1">
    <w:name w:val="Информация об изменениях документа"/>
    <w:basedOn w:val="Style22"/>
    <w:next w:val="Normal"/>
    <w:uiPriority w:val="99"/>
    <w:qFormat/>
    <w:rsid w:val="007148a3"/>
    <w:pPr/>
    <w:rPr>
      <w:i/>
      <w:i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nalog.ru/el_usl/" TargetMode="External"/><Relationship Id="rId5" Type="http://schemas.openxmlformats.org/officeDocument/2006/relationships/hyperlink" Target="https://www.nalog.ru/rn76/service/tax/" TargetMode="External"/><Relationship Id="rId6" Type="http://schemas.openxmlformats.org/officeDocument/2006/relationships/image" Target="media/image3.png"/><Relationship Id="rId7" Type="http://schemas.openxmlformats.org/officeDocument/2006/relationships/hyperlink" Target="garantf1://85213.13" TargetMode="External"/><Relationship Id="rId8" Type="http://schemas.openxmlformats.org/officeDocument/2006/relationships/hyperlink" Target="garantf1://10000264.0" TargetMode="External"/><Relationship Id="rId9" Type="http://schemas.openxmlformats.org/officeDocument/2006/relationships/hyperlink" Target="garantf1://79742.1" TargetMode="External"/><Relationship Id="rId10" Type="http://schemas.openxmlformats.org/officeDocument/2006/relationships/hyperlink" Target="garantf1://12025351.1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lkfl.nalog.ru/lk/" TargetMode="External"/><Relationship Id="rId13" Type="http://schemas.openxmlformats.org/officeDocument/2006/relationships/hyperlink" Target="http://www.nalog.ru/el_usl/" TargetMode="External"/><Relationship Id="rId14" Type="http://schemas.openxmlformats.org/officeDocument/2006/relationships/hyperlink" Target="https://www.nalog.ru/rn76/snu-2019/" TargetMode="External"/><Relationship Id="rId15" Type="http://schemas.openxmlformats.org/officeDocument/2006/relationships/hyperlink" Target="http://www.nalog.ru/el_usl/" TargetMode="External"/><Relationship Id="rId16" Type="http://schemas.openxmlformats.org/officeDocument/2006/relationships/hyperlink" Target="https://www.nalog.ru/rn76/snu-2019/" TargetMode="External"/><Relationship Id="rId17" Type="http://schemas.openxmlformats.org/officeDocument/2006/relationships/image" Target="media/image5.png"/><Relationship Id="rId18" Type="http://schemas.openxmlformats.org/officeDocument/2006/relationships/hyperlink" Target="https://www.nalog.ru/rn76/service/nalog_calc/" TargetMode="External"/><Relationship Id="rId19" Type="http://schemas.openxmlformats.org/officeDocument/2006/relationships/hyperlink" Target="https://www.nalog.ru/rn76/service/nalog_calc/" TargetMode="External"/><Relationship Id="rId20" Type="http://schemas.openxmlformats.org/officeDocument/2006/relationships/hyperlink" Target="http://www.gosuslugi.ru/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C436-4998-476D-B47D-B3714EA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LibreOffice/6.2.5.2$Windows_X86_64 LibreOffice_project/1ec314fa52f458adc18c4f025c545a4e8b22c159</Application>
  <Pages>4</Pages>
  <Words>930</Words>
  <Characters>6724</Characters>
  <CharactersWithSpaces>7649</CharactersWithSpaces>
  <Paragraphs>43</Paragraphs>
  <Company>Департамент финансов ЯО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2019-11-26T12:19:00Z</dcterms:created>
  <dc:creator>Губкина Елена Сергеевна</dc:creator>
  <dc:description/>
  <dc:language>ru-RU</dc:language>
  <cp:lastModifiedBy/>
  <cp:lastPrinted>2018-11-30T08:24:00Z</cp:lastPrinted>
  <dcterms:modified xsi:type="dcterms:W3CDTF">2019-11-28T15:50:24Z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финансов ЯО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